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5CEAA0" w14:textId="77777777" w:rsidR="00DB20EA" w:rsidRDefault="00DB20EA" w:rsidP="00DB20EA">
      <w:pPr>
        <w:rPr>
          <w:rFonts w:ascii="Arial" w:hAnsi="Arial"/>
          <w:b/>
          <w:sz w:val="28"/>
        </w:rPr>
      </w:pPr>
      <w:r>
        <w:rPr>
          <w:rFonts w:ascii="Arial" w:hAnsi="Arial"/>
          <w:b/>
          <w:sz w:val="28"/>
        </w:rPr>
        <w:t>The New York Arbitration Law-Article 75, Civil Practice Law and Rules</w:t>
      </w:r>
    </w:p>
    <w:p w14:paraId="3EA1B1C6" w14:textId="77777777" w:rsidR="00DB20EA" w:rsidRDefault="00DB20EA" w:rsidP="00DB20EA">
      <w:pPr>
        <w:rPr>
          <w:rFonts w:ascii="NewBaskerville" w:hAnsi="NewBaskerville"/>
          <w:b/>
          <w:sz w:val="24"/>
        </w:rPr>
      </w:pPr>
    </w:p>
    <w:p w14:paraId="5C2DD4DE" w14:textId="77777777" w:rsidR="00DB20EA" w:rsidRDefault="00DB20EA" w:rsidP="00DB20EA">
      <w:pPr>
        <w:pBdr>
          <w:top w:val="single" w:sz="6" w:space="1" w:color="auto"/>
          <w:left w:val="single" w:sz="6" w:space="1" w:color="auto"/>
          <w:bottom w:val="single" w:sz="6" w:space="1" w:color="auto"/>
          <w:right w:val="single" w:sz="6" w:space="1" w:color="auto"/>
        </w:pBdr>
        <w:rPr>
          <w:rFonts w:ascii="NewBaskerville" w:hAnsi="NewBaskerville"/>
          <w:b/>
          <w:i/>
          <w:sz w:val="24"/>
        </w:rPr>
      </w:pPr>
      <w:r>
        <w:rPr>
          <w:rFonts w:ascii="NewBaskerville" w:hAnsi="NewBaskerville"/>
          <w:sz w:val="24"/>
        </w:rPr>
        <w:t xml:space="preserve">Note: all underlining has been added for emphasis.  Nothing in the sections of the statute cited below actually appear in underlined text.  </w:t>
      </w:r>
    </w:p>
    <w:p w14:paraId="654C1D9D" w14:textId="77777777" w:rsidR="00DB20EA" w:rsidRDefault="00DB20EA" w:rsidP="00DB20EA">
      <w:pPr>
        <w:rPr>
          <w:rFonts w:ascii="NewBaskerville" w:hAnsi="NewBaskerville"/>
          <w:b/>
          <w:sz w:val="24"/>
        </w:rPr>
      </w:pPr>
    </w:p>
    <w:p w14:paraId="34190F7D" w14:textId="77777777" w:rsidR="00DB20EA" w:rsidRDefault="00DB20EA" w:rsidP="00DB20EA">
      <w:pPr>
        <w:rPr>
          <w:b/>
          <w:sz w:val="24"/>
        </w:rPr>
      </w:pPr>
      <w:r>
        <w:rPr>
          <w:b/>
          <w:sz w:val="24"/>
        </w:rPr>
        <w:t xml:space="preserve">§ 7501.  Effect of arbitration agreement </w:t>
      </w:r>
    </w:p>
    <w:p w14:paraId="40740720" w14:textId="77777777" w:rsidR="00DB20EA" w:rsidRDefault="00DB20EA" w:rsidP="00DB20EA">
      <w:pPr>
        <w:rPr>
          <w:b/>
          <w:sz w:val="24"/>
        </w:rPr>
      </w:pPr>
    </w:p>
    <w:p w14:paraId="3E4232DD" w14:textId="77777777" w:rsidR="00DB20EA" w:rsidRDefault="00DB20EA" w:rsidP="00DB20EA">
      <w:pPr>
        <w:rPr>
          <w:sz w:val="24"/>
          <w:u w:val="single"/>
        </w:rPr>
      </w:pPr>
      <w:r>
        <w:rPr>
          <w:sz w:val="24"/>
        </w:rPr>
        <w:t xml:space="preserve">A written agreement to submit any controversy thereafter arising or any existing controversy to arbitration is enforceable </w:t>
      </w:r>
      <w:r>
        <w:rPr>
          <w:sz w:val="24"/>
          <w:u w:val="single"/>
        </w:rPr>
        <w:t>without regard to the justiciable character of the controversy</w:t>
      </w:r>
      <w:r>
        <w:rPr>
          <w:sz w:val="24"/>
        </w:rPr>
        <w:t xml:space="preserve"> and confers jurisdiction on the courts of the state to enforce it and to enter judgment on an award. In determining any matter arising under this article, the </w:t>
      </w:r>
      <w:r>
        <w:rPr>
          <w:sz w:val="24"/>
          <w:u w:val="single"/>
        </w:rPr>
        <w:t xml:space="preserve">court shall not consider whether the claim with respect to which arbitration is sought is tenable, or otherwise pass upon the merits of the dispute. </w:t>
      </w:r>
    </w:p>
    <w:p w14:paraId="0CA612C4" w14:textId="77777777" w:rsidR="00DB20EA" w:rsidRDefault="00DB20EA" w:rsidP="00DB20EA">
      <w:pPr>
        <w:rPr>
          <w:sz w:val="24"/>
        </w:rPr>
      </w:pPr>
    </w:p>
    <w:p w14:paraId="5A2AB1CF" w14:textId="77777777" w:rsidR="00DB20EA" w:rsidRDefault="00DB20EA" w:rsidP="00DB20EA">
      <w:pPr>
        <w:rPr>
          <w:sz w:val="24"/>
        </w:rPr>
      </w:pPr>
      <w:r>
        <w:rPr>
          <w:b/>
          <w:sz w:val="24"/>
        </w:rPr>
        <w:t>§ 7502. Applications to the court; venue; statutes of limitation; provisional remedies</w:t>
      </w:r>
      <w:r>
        <w:rPr>
          <w:sz w:val="24"/>
        </w:rPr>
        <w:t xml:space="preserve"> </w:t>
      </w:r>
    </w:p>
    <w:p w14:paraId="32F42C6A" w14:textId="77777777" w:rsidR="00DB20EA" w:rsidRDefault="00DB20EA" w:rsidP="00DB20EA">
      <w:pPr>
        <w:rPr>
          <w:sz w:val="24"/>
        </w:rPr>
      </w:pPr>
    </w:p>
    <w:p w14:paraId="5C58ACA8" w14:textId="77777777" w:rsidR="00DB20EA" w:rsidRDefault="00DB20EA" w:rsidP="00DB20EA">
      <w:pPr>
        <w:numPr>
          <w:ilvl w:val="0"/>
          <w:numId w:val="1"/>
        </w:numPr>
        <w:rPr>
          <w:sz w:val="24"/>
        </w:rPr>
      </w:pPr>
      <w:r>
        <w:rPr>
          <w:rStyle w:val="Emphasis"/>
          <w:sz w:val="24"/>
        </w:rPr>
        <w:t>Limitation of time.</w:t>
      </w:r>
      <w:r>
        <w:rPr>
          <w:sz w:val="24"/>
        </w:rPr>
        <w:t xml:space="preserve"> If, at the time that a demand for arbitration was made or a notice of intention to arbitrate was served, the claim sought to be arbitrated would have been barred by limitation of time had it been asserted in a court of the state, a party may assert the limitation as a bar to the arbitration on an application to the court as provided in section 7503 or subdivision (b) of section 7511.  </w:t>
      </w:r>
      <w:r>
        <w:rPr>
          <w:sz w:val="24"/>
          <w:u w:val="single"/>
        </w:rPr>
        <w:t>The failure to assert such bar by such application shall not preclude its assertion before the arbitrators,</w:t>
      </w:r>
      <w:r>
        <w:rPr>
          <w:sz w:val="24"/>
        </w:rPr>
        <w:t xml:space="preserve"> who may, in their sole discretion, apply or not apply the bar. Except as provided in subdivision (b) of section 7511, such exercise of discretion by the arbitrators shall not be subject to review by a court on an application to confirm, vacate or modify the award. </w:t>
      </w:r>
    </w:p>
    <w:p w14:paraId="50E4942E" w14:textId="77777777" w:rsidR="00DB20EA" w:rsidRDefault="00DB20EA" w:rsidP="00DB20EA">
      <w:pPr>
        <w:rPr>
          <w:sz w:val="24"/>
        </w:rPr>
      </w:pPr>
    </w:p>
    <w:p w14:paraId="6C1578CF" w14:textId="77777777" w:rsidR="00DB20EA" w:rsidRDefault="00DB20EA" w:rsidP="00DB20EA">
      <w:pPr>
        <w:rPr>
          <w:sz w:val="24"/>
        </w:rPr>
      </w:pPr>
    </w:p>
    <w:p w14:paraId="0EC87DB6" w14:textId="77777777" w:rsidR="00DB20EA" w:rsidRDefault="00DB20EA" w:rsidP="00DB20EA">
      <w:pPr>
        <w:rPr>
          <w:sz w:val="24"/>
        </w:rPr>
      </w:pPr>
      <w:r>
        <w:rPr>
          <w:b/>
          <w:sz w:val="24"/>
        </w:rPr>
        <w:t>§ 7503.  Application to compel or stay arbitration; stay of action; notice of intention to arbitrate</w:t>
      </w:r>
      <w:r>
        <w:rPr>
          <w:sz w:val="24"/>
        </w:rPr>
        <w:t xml:space="preserve"> </w:t>
      </w:r>
    </w:p>
    <w:p w14:paraId="3C8B60CC" w14:textId="77777777" w:rsidR="00DB20EA" w:rsidRDefault="00DB20EA" w:rsidP="00DB20EA">
      <w:pPr>
        <w:rPr>
          <w:sz w:val="24"/>
        </w:rPr>
      </w:pPr>
    </w:p>
    <w:p w14:paraId="4A0D35FE" w14:textId="77777777" w:rsidR="00DB20EA" w:rsidRDefault="00DB20EA" w:rsidP="00DB20EA">
      <w:pPr>
        <w:numPr>
          <w:ilvl w:val="0"/>
          <w:numId w:val="2"/>
        </w:numPr>
        <w:rPr>
          <w:sz w:val="24"/>
        </w:rPr>
      </w:pPr>
      <w:r>
        <w:rPr>
          <w:rStyle w:val="Emphasis"/>
          <w:sz w:val="24"/>
        </w:rPr>
        <w:t>Application to compel arbitration; stay of action</w:t>
      </w:r>
      <w:r>
        <w:rPr>
          <w:sz w:val="24"/>
        </w:rPr>
        <w:t xml:space="preserve">. A party aggrieved by the failure of another to arbitrate may apply for an order compelling arbitration. </w:t>
      </w:r>
      <w:r>
        <w:rPr>
          <w:sz w:val="24"/>
          <w:u w:val="single"/>
        </w:rPr>
        <w:t>Where there is no substantial question whether a valid agreement was made or complied with, and the claim sought to be arbitrated is not barred by limitation under subdivision (b) of  section 7502, the court shall direct the parties to arbitrate</w:t>
      </w:r>
      <w:r>
        <w:rPr>
          <w:sz w:val="24"/>
        </w:rPr>
        <w:t xml:space="preserve">. Where any such question is raised, it shall be tried forthwith in said court. If an issue claimed to be arbitrable is involved in an action pending in a court having jurisdiction to hear a motion to compel arbitration, the application shall be made by motion in that action. If the application is granted, the order shall operate to stay a pending or subsequent action, or so much of it as is </w:t>
      </w:r>
      <w:proofErr w:type="spellStart"/>
      <w:r>
        <w:rPr>
          <w:sz w:val="24"/>
        </w:rPr>
        <w:t>referable</w:t>
      </w:r>
      <w:proofErr w:type="spellEnd"/>
      <w:r>
        <w:rPr>
          <w:sz w:val="24"/>
        </w:rPr>
        <w:t xml:space="preserve"> to arbitration.</w:t>
      </w:r>
    </w:p>
    <w:p w14:paraId="77DD40D7" w14:textId="77777777" w:rsidR="00DB20EA" w:rsidRDefault="00DB20EA" w:rsidP="00DB20EA">
      <w:pPr>
        <w:rPr>
          <w:sz w:val="24"/>
        </w:rPr>
      </w:pPr>
    </w:p>
    <w:p w14:paraId="7E0D63B3" w14:textId="77777777" w:rsidR="00DB20EA" w:rsidRDefault="00DB20EA" w:rsidP="00DB20EA">
      <w:pPr>
        <w:numPr>
          <w:ilvl w:val="0"/>
          <w:numId w:val="3"/>
        </w:numPr>
        <w:rPr>
          <w:sz w:val="24"/>
        </w:rPr>
      </w:pPr>
      <w:r>
        <w:rPr>
          <w:rStyle w:val="Emphasis"/>
          <w:sz w:val="24"/>
        </w:rPr>
        <w:t>Application to stay arbitration</w:t>
      </w:r>
      <w:r>
        <w:rPr>
          <w:sz w:val="24"/>
        </w:rPr>
        <w:t>. Subject to the provisions of subdivision (c</w:t>
      </w:r>
      <w:r>
        <w:rPr>
          <w:sz w:val="24"/>
          <w:u w:val="single"/>
        </w:rPr>
        <w:t>), a party who has not participated in the arbitration and who has not made or been served with an application to compel arbitration</w:t>
      </w:r>
      <w:r>
        <w:rPr>
          <w:sz w:val="24"/>
        </w:rPr>
        <w:t xml:space="preserve">, may apply to stay arbitration on the ground that a valid agreement was not made or has not been complied with or that the claim sought to be arbitrated is barred by limitation under subdivision (b) of section 7502. </w:t>
      </w:r>
    </w:p>
    <w:p w14:paraId="62B6C3EF" w14:textId="77777777" w:rsidR="00DB20EA" w:rsidRDefault="00DB20EA" w:rsidP="00DB20EA">
      <w:pPr>
        <w:rPr>
          <w:sz w:val="24"/>
        </w:rPr>
      </w:pPr>
    </w:p>
    <w:p w14:paraId="1887960C" w14:textId="77777777" w:rsidR="00DB20EA" w:rsidRDefault="00DB20EA" w:rsidP="00DB20EA">
      <w:pPr>
        <w:numPr>
          <w:ilvl w:val="0"/>
          <w:numId w:val="4"/>
        </w:numPr>
        <w:rPr>
          <w:sz w:val="24"/>
        </w:rPr>
      </w:pPr>
      <w:r>
        <w:rPr>
          <w:rStyle w:val="Emphasis"/>
          <w:sz w:val="24"/>
        </w:rPr>
        <w:t>Notice of intention to arbitrate</w:t>
      </w:r>
      <w:r>
        <w:rPr>
          <w:sz w:val="24"/>
        </w:rPr>
        <w:t xml:space="preserve">. A party may serve upon another party a demand for arbitration or a notice of intention to arbitrate, specifying the </w:t>
      </w:r>
      <w:r>
        <w:rPr>
          <w:sz w:val="24"/>
          <w:u w:val="single"/>
        </w:rPr>
        <w:t>agreement pursuant to which arbitration is sought and the name and address of the party serving the notice</w:t>
      </w:r>
      <w:r>
        <w:rPr>
          <w:sz w:val="24"/>
        </w:rPr>
        <w:t xml:space="preserve">, or of an officer </w:t>
      </w:r>
      <w:r>
        <w:rPr>
          <w:sz w:val="24"/>
        </w:rPr>
        <w:lastRenderedPageBreak/>
        <w:t xml:space="preserve">or agent thereof if such party is an association or corporation, and </w:t>
      </w:r>
      <w:r>
        <w:rPr>
          <w:b/>
          <w:sz w:val="24"/>
          <w:u w:val="single"/>
        </w:rPr>
        <w:t>stating that unless the party served applies to stay the arbitration within twenty days after such service he shall thereafter be precluded from objecting that a valid agreement was not made or has not been complied with and from asserting in court the bar of a limitation of time</w:t>
      </w:r>
      <w:r>
        <w:rPr>
          <w:sz w:val="24"/>
        </w:rPr>
        <w:t xml:space="preserve">. Such notice or demand shall be served in the same manner as a summons or by registered or certified mail, return receipt requested. </w:t>
      </w:r>
      <w:r>
        <w:rPr>
          <w:b/>
          <w:sz w:val="24"/>
          <w:u w:val="single"/>
        </w:rPr>
        <w:t>An application to stay arbitration must be made by the party served within twenty days after service upon him of the notice or demand, or he shall be so precluded</w:t>
      </w:r>
      <w:r>
        <w:rPr>
          <w:sz w:val="24"/>
        </w:rPr>
        <w:t xml:space="preserve">. Notice of such application shall be served in the same manner as a summons or by registered or certified mail, return receipt requested. Service of the application may be made upon the adverse party, or upon his attorney if the attorney's name appears on the demand for arbitration or the notice of intention to arbitrate. Service of the application by mail shall be timely if such application is posted within the prescribed period. </w:t>
      </w:r>
      <w:r>
        <w:rPr>
          <w:sz w:val="24"/>
          <w:u w:val="single"/>
        </w:rPr>
        <w:t>Any provision in an arbitration agreement or arbitration rules which waives the right to apply for a stay of arbitration is hereby declared null and void</w:t>
      </w:r>
      <w:r>
        <w:rPr>
          <w:sz w:val="24"/>
        </w:rPr>
        <w:t xml:space="preserve">. </w:t>
      </w:r>
    </w:p>
    <w:p w14:paraId="24940541" w14:textId="77777777" w:rsidR="00DB20EA" w:rsidRDefault="00DB20EA" w:rsidP="00DB20EA">
      <w:pPr>
        <w:rPr>
          <w:sz w:val="24"/>
        </w:rPr>
      </w:pPr>
    </w:p>
    <w:p w14:paraId="5D9A5F9C" w14:textId="259C4B4E" w:rsidR="00DB20EA" w:rsidRDefault="00DB20EA" w:rsidP="00DB20EA">
      <w:pPr>
        <w:rPr>
          <w:sz w:val="24"/>
        </w:rPr>
      </w:pPr>
      <w:r>
        <w:rPr>
          <w:b/>
          <w:sz w:val="24"/>
        </w:rPr>
        <w:t>§ 751</w:t>
      </w:r>
      <w:r w:rsidR="00D74C4D">
        <w:rPr>
          <w:b/>
          <w:sz w:val="24"/>
        </w:rPr>
        <w:t>5</w:t>
      </w:r>
      <w:r>
        <w:rPr>
          <w:b/>
          <w:sz w:val="24"/>
        </w:rPr>
        <w:t xml:space="preserve">. </w:t>
      </w:r>
      <w:r w:rsidR="00D74C4D" w:rsidRPr="00D74C4D">
        <w:rPr>
          <w:b/>
          <w:sz w:val="24"/>
        </w:rPr>
        <w:t>Mandatory arbitration clauses; prohibited</w:t>
      </w:r>
      <w:r w:rsidR="00D74C4D">
        <w:rPr>
          <w:b/>
          <w:sz w:val="24"/>
        </w:rPr>
        <w:t xml:space="preserve"> </w:t>
      </w:r>
      <w:r w:rsidR="00D74C4D" w:rsidRPr="00D74C4D">
        <w:rPr>
          <w:b/>
          <w:sz w:val="24"/>
          <w:highlight w:val="yellow"/>
        </w:rPr>
        <w:t>(effective October 2018)</w:t>
      </w:r>
    </w:p>
    <w:p w14:paraId="0652CB14" w14:textId="77777777" w:rsidR="00DB20EA" w:rsidRDefault="00DB20EA" w:rsidP="00DB20EA">
      <w:pPr>
        <w:rPr>
          <w:sz w:val="24"/>
        </w:rPr>
      </w:pPr>
    </w:p>
    <w:p w14:paraId="1129D28E" w14:textId="7DFE65CE" w:rsidR="00D74C4D" w:rsidRPr="00D74C4D" w:rsidRDefault="00D74C4D" w:rsidP="00D74C4D">
      <w:pPr>
        <w:rPr>
          <w:rStyle w:val="Emphasis"/>
          <w:sz w:val="24"/>
        </w:rPr>
      </w:pPr>
      <w:r>
        <w:rPr>
          <w:rStyle w:val="Emphasis"/>
          <w:sz w:val="24"/>
        </w:rPr>
        <w:t>(</w:t>
      </w:r>
      <w:r w:rsidRPr="00D74C4D">
        <w:rPr>
          <w:rStyle w:val="Emphasis"/>
          <w:sz w:val="24"/>
        </w:rPr>
        <w:t>a) Definitions. As used in this section:</w:t>
      </w:r>
    </w:p>
    <w:p w14:paraId="4EA123AA" w14:textId="16C101C3" w:rsidR="00D74C4D" w:rsidRPr="00D74C4D" w:rsidRDefault="00D74C4D" w:rsidP="00D74C4D">
      <w:pPr>
        <w:rPr>
          <w:rStyle w:val="Emphasis"/>
          <w:i w:val="0"/>
          <w:sz w:val="24"/>
        </w:rPr>
      </w:pPr>
      <w:r w:rsidRPr="00D74C4D">
        <w:rPr>
          <w:rStyle w:val="Emphasis"/>
          <w:i w:val="0"/>
          <w:sz w:val="24"/>
        </w:rPr>
        <w:t>2. The term "prohibited clause" shall mean any clause or provision in any contract which requires as a condition of the enforcement of the contract or obtaining remedies under the contract that the parties submit to mandatory arbitration to resolve any allegation or claim of an unlawful discriminatory practice of sexual harassment.</w:t>
      </w:r>
    </w:p>
    <w:p w14:paraId="4D68D12C" w14:textId="77777777" w:rsidR="00D74C4D" w:rsidRDefault="00D74C4D" w:rsidP="00D74C4D">
      <w:pPr>
        <w:rPr>
          <w:rStyle w:val="Emphasis"/>
          <w:sz w:val="24"/>
        </w:rPr>
      </w:pPr>
    </w:p>
    <w:p w14:paraId="56A4A0A8" w14:textId="056D4E7D" w:rsidR="00D74C4D" w:rsidRDefault="00D74C4D" w:rsidP="00D74C4D">
      <w:pPr>
        <w:rPr>
          <w:rStyle w:val="Emphasis"/>
          <w:sz w:val="24"/>
        </w:rPr>
      </w:pPr>
      <w:r w:rsidRPr="00D74C4D">
        <w:rPr>
          <w:rStyle w:val="Emphasis"/>
          <w:sz w:val="24"/>
        </w:rPr>
        <w:t>(b) (</w:t>
      </w:r>
      <w:proofErr w:type="spellStart"/>
      <w:r w:rsidRPr="00D74C4D">
        <w:rPr>
          <w:rStyle w:val="Emphasis"/>
          <w:sz w:val="24"/>
        </w:rPr>
        <w:t>i</w:t>
      </w:r>
      <w:proofErr w:type="spellEnd"/>
      <w:r w:rsidRPr="00D74C4D">
        <w:rPr>
          <w:rStyle w:val="Emphasis"/>
          <w:sz w:val="24"/>
        </w:rPr>
        <w:t xml:space="preserve">) Prohibition. </w:t>
      </w:r>
    </w:p>
    <w:p w14:paraId="1BA0430D" w14:textId="1C251BB5" w:rsidR="00D74C4D" w:rsidRPr="00D74C4D" w:rsidRDefault="00D74C4D" w:rsidP="00D74C4D">
      <w:pPr>
        <w:rPr>
          <w:rStyle w:val="Emphasis"/>
          <w:i w:val="0"/>
          <w:sz w:val="24"/>
        </w:rPr>
      </w:pPr>
      <w:r w:rsidRPr="00D74C4D">
        <w:rPr>
          <w:rStyle w:val="Emphasis"/>
          <w:i w:val="0"/>
          <w:sz w:val="24"/>
        </w:rPr>
        <w:t>Except where inconsistent with federal law, no written contract, entered into on or after the effective date of this section shall contain a prohibited clause as defined in paragraph two of subdivision (a) of this section.</w:t>
      </w:r>
    </w:p>
    <w:p w14:paraId="6E390D28" w14:textId="77777777" w:rsidR="00D74C4D" w:rsidRPr="00D74C4D" w:rsidRDefault="00D74C4D" w:rsidP="00D74C4D">
      <w:pPr>
        <w:rPr>
          <w:rStyle w:val="Emphasis"/>
          <w:sz w:val="24"/>
        </w:rPr>
      </w:pPr>
    </w:p>
    <w:p w14:paraId="19AA0CD7" w14:textId="77777777" w:rsidR="00D74C4D" w:rsidRDefault="00D74C4D" w:rsidP="00D74C4D">
      <w:pPr>
        <w:rPr>
          <w:rStyle w:val="Emphasis"/>
          <w:sz w:val="24"/>
        </w:rPr>
      </w:pPr>
      <w:r w:rsidRPr="00D74C4D">
        <w:rPr>
          <w:rStyle w:val="Emphasis"/>
          <w:sz w:val="24"/>
        </w:rPr>
        <w:t xml:space="preserve">(iii) Mandatory arbitration clause null and void. </w:t>
      </w:r>
    </w:p>
    <w:p w14:paraId="71F8156C" w14:textId="499FFC97" w:rsidR="00D74C4D" w:rsidRPr="00D74C4D" w:rsidRDefault="00D74C4D" w:rsidP="00D74C4D">
      <w:pPr>
        <w:rPr>
          <w:rStyle w:val="Emphasis"/>
          <w:i w:val="0"/>
          <w:sz w:val="24"/>
        </w:rPr>
      </w:pPr>
      <w:r w:rsidRPr="00D74C4D">
        <w:rPr>
          <w:rStyle w:val="Emphasis"/>
          <w:i w:val="0"/>
          <w:sz w:val="24"/>
        </w:rPr>
        <w:t>Except where inconsistent with federal law, the provisions of such prohibited clause as defined in paragraph two of subdivision (a) of this section shall be null and void. The inclusion of such clause in a written contract shall not serve to impair the enforceability of any other provision of such contract.</w:t>
      </w:r>
    </w:p>
    <w:p w14:paraId="15044C94" w14:textId="77777777" w:rsidR="00D74C4D" w:rsidRDefault="00D74C4D" w:rsidP="00D74C4D">
      <w:pPr>
        <w:rPr>
          <w:rStyle w:val="Emphasis"/>
          <w:sz w:val="24"/>
        </w:rPr>
      </w:pPr>
    </w:p>
    <w:p w14:paraId="1F7A5F1C" w14:textId="77777777" w:rsidR="00DB20EA" w:rsidRDefault="00DB20EA" w:rsidP="00DB20EA">
      <w:pPr>
        <w:pStyle w:val="Blockquote"/>
        <w:ind w:right="720"/>
        <w:rPr>
          <w:sz w:val="10"/>
        </w:rPr>
      </w:pPr>
      <w:bookmarkStart w:id="0" w:name="_GoBack"/>
      <w:bookmarkEnd w:id="0"/>
    </w:p>
    <w:p w14:paraId="349F87E5" w14:textId="77777777" w:rsidR="00DB20EA" w:rsidRDefault="00DB20EA" w:rsidP="00DB20EA">
      <w:pPr>
        <w:pStyle w:val="Blockquote"/>
        <w:ind w:right="720"/>
        <w:jc w:val="center"/>
        <w:rPr>
          <w:sz w:val="16"/>
        </w:rPr>
      </w:pPr>
      <w:r>
        <w:rPr>
          <w:rFonts w:ascii="Arial" w:hAnsi="Arial"/>
          <w:b/>
          <w:sz w:val="28"/>
        </w:rPr>
        <w:t>SECTION 2, FEDERAL ARBITRATION ACT (9 U.S.C.)</w:t>
      </w:r>
      <w:r>
        <w:rPr>
          <w:sz w:val="16"/>
        </w:rPr>
        <w:t xml:space="preserve"> </w:t>
      </w:r>
    </w:p>
    <w:p w14:paraId="672D240C" w14:textId="77777777" w:rsidR="00DB20EA" w:rsidRDefault="00DB20EA" w:rsidP="00DB20EA">
      <w:pPr>
        <w:pStyle w:val="Blockquote"/>
        <w:ind w:right="720"/>
        <w:jc w:val="center"/>
        <w:rPr>
          <w:sz w:val="16"/>
        </w:rPr>
      </w:pPr>
    </w:p>
    <w:p w14:paraId="49CCC19E" w14:textId="77777777" w:rsidR="00DB20EA" w:rsidRDefault="00DB20EA" w:rsidP="00DB20EA">
      <w:pPr>
        <w:rPr>
          <w:sz w:val="24"/>
        </w:rPr>
      </w:pPr>
      <w:r>
        <w:rPr>
          <w:b/>
          <w:sz w:val="24"/>
        </w:rPr>
        <w:t xml:space="preserve">Sec. 2. Validity, irrevocability, and enforcement of agreements to arbitrate </w:t>
      </w:r>
    </w:p>
    <w:p w14:paraId="4F2C9B65" w14:textId="77777777" w:rsidR="00DB20EA" w:rsidRDefault="00DB20EA" w:rsidP="00DB20EA">
      <w:pPr>
        <w:rPr>
          <w:sz w:val="24"/>
        </w:rPr>
      </w:pPr>
      <w:r>
        <w:rPr>
          <w:sz w:val="24"/>
        </w:rPr>
        <w:br/>
        <w:t xml:space="preserve">A written provision in any maritime transaction or a contract evidencing a transaction involving commerce to settle by arbitration a controversy thereafter arising out of such contract or transaction, or the refusal to perform the whole or any part thereof, or an agreement in writing to submit to arbitration an existing controversy arising out of such a contract, transaction, or refusal, </w:t>
      </w:r>
      <w:r>
        <w:rPr>
          <w:sz w:val="24"/>
          <w:u w:val="single"/>
        </w:rPr>
        <w:t>shall be valid, irrevocable, and enforceable, save upon such grounds as exist at law or in equity for the revocation of any contract.</w:t>
      </w:r>
      <w:r>
        <w:rPr>
          <w:sz w:val="24"/>
        </w:rPr>
        <w:t xml:space="preserve"> </w:t>
      </w:r>
    </w:p>
    <w:p w14:paraId="7D525917" w14:textId="77777777" w:rsidR="00DB20EA" w:rsidRDefault="00DB20EA" w:rsidP="00DB20EA">
      <w:pPr>
        <w:pStyle w:val="Blockquote"/>
        <w:ind w:right="720"/>
      </w:pPr>
    </w:p>
    <w:p w14:paraId="5B30BAAB" w14:textId="77777777" w:rsidR="00DB20EA" w:rsidRDefault="00DB20EA" w:rsidP="00DB20EA">
      <w:pPr>
        <w:rPr>
          <w:sz w:val="24"/>
        </w:rPr>
      </w:pPr>
      <w:r>
        <w:rPr>
          <w:sz w:val="24"/>
        </w:rPr>
        <w:t>C:\law\arbiistat</w:t>
      </w:r>
    </w:p>
    <w:p w14:paraId="777620F0" w14:textId="77777777" w:rsidR="00FE3456" w:rsidRDefault="00FE3456"/>
    <w:p w14:paraId="09DA89D5" w14:textId="77777777" w:rsidR="00DB20EA" w:rsidRDefault="00DB20EA"/>
    <w:sectPr w:rsidR="00DB20EA" w:rsidSect="00DB20EA">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ewBaskerville">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F728CA"/>
    <w:multiLevelType w:val="singleLevel"/>
    <w:tmpl w:val="0958F418"/>
    <w:lvl w:ilvl="0">
      <w:start w:val="2"/>
      <w:numFmt w:val="lowerLetter"/>
      <w:lvlText w:val="%1) "/>
      <w:legacy w:legacy="1" w:legacySpace="0" w:legacyIndent="360"/>
      <w:lvlJc w:val="left"/>
      <w:pPr>
        <w:ind w:left="360" w:hanging="360"/>
      </w:pPr>
      <w:rPr>
        <w:rFonts w:ascii="Times New Roman" w:hAnsi="Times New Roman" w:cs="Times New Roman" w:hint="default"/>
        <w:b w:val="0"/>
        <w:i/>
        <w:strike w:val="0"/>
        <w:dstrike w:val="0"/>
        <w:sz w:val="20"/>
        <w:u w:val="none"/>
        <w:effect w:val="none"/>
      </w:rPr>
    </w:lvl>
  </w:abstractNum>
  <w:abstractNum w:abstractNumId="1" w15:restartNumberingAfterBreak="0">
    <w:nsid w:val="24312D66"/>
    <w:multiLevelType w:val="singleLevel"/>
    <w:tmpl w:val="D5A24268"/>
    <w:lvl w:ilvl="0">
      <w:start w:val="1"/>
      <w:numFmt w:val="lowerLetter"/>
      <w:lvlText w:val="%1) "/>
      <w:legacy w:legacy="1" w:legacySpace="0" w:legacyIndent="360"/>
      <w:lvlJc w:val="left"/>
      <w:pPr>
        <w:ind w:left="360" w:hanging="360"/>
      </w:pPr>
      <w:rPr>
        <w:rFonts w:ascii="Times New Roman" w:hAnsi="Times New Roman" w:cs="Times New Roman" w:hint="default"/>
        <w:b w:val="0"/>
        <w:i/>
        <w:strike w:val="0"/>
        <w:dstrike w:val="0"/>
        <w:sz w:val="20"/>
        <w:u w:val="none"/>
        <w:effect w:val="none"/>
      </w:rPr>
    </w:lvl>
  </w:abstractNum>
  <w:abstractNum w:abstractNumId="2" w15:restartNumberingAfterBreak="0">
    <w:nsid w:val="28980A15"/>
    <w:multiLevelType w:val="singleLevel"/>
    <w:tmpl w:val="0958F418"/>
    <w:lvl w:ilvl="0">
      <w:start w:val="2"/>
      <w:numFmt w:val="lowerLetter"/>
      <w:lvlText w:val="%1) "/>
      <w:legacy w:legacy="1" w:legacySpace="0" w:legacyIndent="360"/>
      <w:lvlJc w:val="left"/>
      <w:pPr>
        <w:ind w:left="360" w:hanging="360"/>
      </w:pPr>
      <w:rPr>
        <w:rFonts w:ascii="Times New Roman" w:hAnsi="Times New Roman" w:cs="Times New Roman" w:hint="default"/>
        <w:b w:val="0"/>
        <w:i/>
        <w:strike w:val="0"/>
        <w:dstrike w:val="0"/>
        <w:sz w:val="20"/>
        <w:u w:val="none"/>
        <w:effect w:val="none"/>
      </w:rPr>
    </w:lvl>
  </w:abstractNum>
  <w:abstractNum w:abstractNumId="3" w15:restartNumberingAfterBreak="0">
    <w:nsid w:val="2A077B09"/>
    <w:multiLevelType w:val="singleLevel"/>
    <w:tmpl w:val="AE964CA8"/>
    <w:lvl w:ilvl="0">
      <w:start w:val="2"/>
      <w:numFmt w:val="lowerRoman"/>
      <w:lvlText w:val="(%1) "/>
      <w:legacy w:legacy="1" w:legacySpace="0" w:legacyIndent="360"/>
      <w:lvlJc w:val="left"/>
      <w:pPr>
        <w:ind w:left="1080" w:hanging="360"/>
      </w:pPr>
      <w:rPr>
        <w:rFonts w:ascii="Times New Roman" w:hAnsi="Times New Roman" w:cs="Times New Roman" w:hint="default"/>
        <w:b w:val="0"/>
        <w:i w:val="0"/>
        <w:strike w:val="0"/>
        <w:dstrike w:val="0"/>
        <w:sz w:val="20"/>
        <w:u w:val="none"/>
        <w:effect w:val="none"/>
      </w:rPr>
    </w:lvl>
  </w:abstractNum>
  <w:abstractNum w:abstractNumId="4" w15:restartNumberingAfterBreak="0">
    <w:nsid w:val="45297756"/>
    <w:multiLevelType w:val="singleLevel"/>
    <w:tmpl w:val="F70E9DEE"/>
    <w:lvl w:ilvl="0">
      <w:start w:val="3"/>
      <w:numFmt w:val="lowerLetter"/>
      <w:lvlText w:val="(%1) "/>
      <w:legacy w:legacy="1" w:legacySpace="0" w:legacyIndent="360"/>
      <w:lvlJc w:val="left"/>
      <w:pPr>
        <w:ind w:left="360" w:hanging="360"/>
      </w:pPr>
      <w:rPr>
        <w:rFonts w:ascii="Times New Roman" w:hAnsi="Times New Roman" w:cs="Times New Roman" w:hint="default"/>
        <w:b w:val="0"/>
        <w:i/>
        <w:strike w:val="0"/>
        <w:dstrike w:val="0"/>
        <w:sz w:val="20"/>
        <w:u w:val="none"/>
        <w:effect w:val="none"/>
      </w:rPr>
    </w:lvl>
  </w:abstractNum>
  <w:abstractNum w:abstractNumId="5" w15:restartNumberingAfterBreak="0">
    <w:nsid w:val="7FEF388A"/>
    <w:multiLevelType w:val="singleLevel"/>
    <w:tmpl w:val="877E59E8"/>
    <w:lvl w:ilvl="0">
      <w:start w:val="2"/>
      <w:numFmt w:val="lowerLetter"/>
      <w:lvlText w:val="(%1) "/>
      <w:legacy w:legacy="1" w:legacySpace="0" w:legacyIndent="360"/>
      <w:lvlJc w:val="left"/>
      <w:pPr>
        <w:ind w:left="360" w:hanging="360"/>
      </w:pPr>
      <w:rPr>
        <w:rFonts w:ascii="Times New Roman" w:hAnsi="Times New Roman" w:cs="Times New Roman" w:hint="default"/>
        <w:b w:val="0"/>
        <w:i/>
        <w:strike w:val="0"/>
        <w:dstrike w:val="0"/>
        <w:sz w:val="20"/>
        <w:u w:val="none"/>
        <w:effect w:val="none"/>
      </w:rPr>
    </w:lvl>
  </w:abstractNum>
  <w:num w:numId="1">
    <w:abstractNumId w:val="2"/>
    <w:lvlOverride w:ilvl="0">
      <w:startOverride w:val="2"/>
    </w:lvlOverride>
  </w:num>
  <w:num w:numId="2">
    <w:abstractNumId w:val="1"/>
    <w:lvlOverride w:ilvl="0">
      <w:startOverride w:val="1"/>
    </w:lvlOverride>
  </w:num>
  <w:num w:numId="3">
    <w:abstractNumId w:val="5"/>
    <w:lvlOverride w:ilvl="0">
      <w:startOverride w:val="2"/>
    </w:lvlOverride>
  </w:num>
  <w:num w:numId="4">
    <w:abstractNumId w:val="4"/>
    <w:lvlOverride w:ilvl="0">
      <w:startOverride w:val="3"/>
    </w:lvlOverride>
  </w:num>
  <w:num w:numId="5">
    <w:abstractNumId w:val="0"/>
    <w:lvlOverride w:ilvl="0">
      <w:startOverride w:val="2"/>
    </w:lvlOverride>
  </w:num>
  <w:num w:numId="6">
    <w:abstractNumId w:val="3"/>
    <w:lvlOverride w:ilvl="0">
      <w:startOverride w:val="2"/>
    </w:lvlOverride>
  </w:num>
  <w:num w:numId="7">
    <w:abstractNumId w:val="3"/>
    <w:lvlOverride w:ilvl="0">
      <w:lvl w:ilvl="0">
        <w:start w:val="2"/>
        <w:numFmt w:val="lowerRoman"/>
        <w:lvlText w:val="(%1) "/>
        <w:legacy w:legacy="1" w:legacySpace="0" w:legacyIndent="360"/>
        <w:lvlJc w:val="left"/>
        <w:pPr>
          <w:ind w:left="1080" w:hanging="360"/>
        </w:pPr>
        <w:rPr>
          <w:rFonts w:ascii="Times New Roman" w:hAnsi="Times New Roman" w:cs="Times New Roman" w:hint="default"/>
          <w:b w:val="0"/>
          <w:i w:val="0"/>
          <w:strike w:val="0"/>
          <w:dstrike w:val="0"/>
          <w:sz w:val="20"/>
          <w:u w:val="none"/>
          <w:effect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0EA"/>
    <w:rsid w:val="00060EFE"/>
    <w:rsid w:val="00D74C4D"/>
    <w:rsid w:val="00DB20EA"/>
    <w:rsid w:val="00FE34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31FEB"/>
  <w15:chartTrackingRefBased/>
  <w15:docId w15:val="{FD0D6ADE-70B0-4359-9DDE-638C7E64A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20EA"/>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DB20EA"/>
    <w:rPr>
      <w:i/>
      <w:iCs w:val="0"/>
    </w:rPr>
  </w:style>
  <w:style w:type="paragraph" w:customStyle="1" w:styleId="Blockquote">
    <w:name w:val="Blockquote"/>
    <w:basedOn w:val="Normal"/>
    <w:rsid w:val="00DB20EA"/>
    <w:pPr>
      <w:spacing w:before="100" w:after="100"/>
      <w:ind w:left="360" w:right="36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0184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928</Words>
  <Characters>5296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Friedman</dc:creator>
  <cp:keywords/>
  <dc:description/>
  <cp:lastModifiedBy>George Friedman</cp:lastModifiedBy>
  <cp:revision>2</cp:revision>
  <dcterms:created xsi:type="dcterms:W3CDTF">2018-11-29T14:28:00Z</dcterms:created>
  <dcterms:modified xsi:type="dcterms:W3CDTF">2018-11-29T14:28:00Z</dcterms:modified>
</cp:coreProperties>
</file>